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5C" w:rsidRPr="00D3521C" w:rsidRDefault="0015605C" w:rsidP="0015605C">
      <w:pPr>
        <w:keepNext/>
        <w:spacing w:after="0" w:line="240" w:lineRule="auto"/>
        <w:outlineLvl w:val="1"/>
        <w:rPr>
          <w:rFonts w:eastAsia="Times New Roman" w:cs="Arial"/>
          <w:b/>
          <w:bCs/>
          <w:szCs w:val="20"/>
          <w:u w:val="single"/>
          <w:lang w:eastAsia="nl-NL"/>
        </w:rPr>
      </w:pPr>
      <w:bookmarkStart w:id="0" w:name="_Toc392508147"/>
      <w:bookmarkStart w:id="1" w:name="_Toc392508378"/>
      <w:bookmarkStart w:id="2" w:name="_Toc435171709"/>
      <w:bookmarkStart w:id="3" w:name="_Toc435171895"/>
      <w:r w:rsidRPr="00D3521C">
        <w:rPr>
          <w:rFonts w:eastAsia="Times New Roman" w:cs="Arial"/>
          <w:b/>
          <w:bCs/>
          <w:szCs w:val="20"/>
          <w:u w:val="single"/>
          <w:lang w:eastAsia="nl-NL"/>
        </w:rPr>
        <w:t>Taak 7</w:t>
      </w:r>
      <w:bookmarkEnd w:id="0"/>
      <w:bookmarkEnd w:id="1"/>
      <w:bookmarkEnd w:id="2"/>
      <w:bookmarkEnd w:id="3"/>
    </w:p>
    <w:p w:rsidR="0015605C" w:rsidRPr="00D3521C" w:rsidRDefault="0015605C" w:rsidP="0015605C">
      <w:pPr>
        <w:spacing w:after="0" w:line="240" w:lineRule="auto"/>
        <w:rPr>
          <w:rFonts w:eastAsia="Times New Roman" w:cs="Arial"/>
          <w:b/>
          <w:szCs w:val="20"/>
          <w:lang w:eastAsia="nl-N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38"/>
      </w:tblGrid>
      <w:tr w:rsidR="0015605C" w:rsidRPr="00D3521C" w:rsidTr="008F2276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15605C" w:rsidRPr="00D3521C" w:rsidRDefault="0015605C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Titel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15605C" w:rsidRPr="00D3521C" w:rsidRDefault="0015605C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bookmarkStart w:id="4" w:name="_GoBack"/>
            <w:r w:rsidRPr="00D3521C">
              <w:rPr>
                <w:rFonts w:eastAsia="Times New Roman" w:cs="Arial"/>
                <w:szCs w:val="20"/>
                <w:lang w:eastAsia="nl-NL"/>
              </w:rPr>
              <w:t>Bijwerkingen van de corticosteroïden</w:t>
            </w:r>
            <w:bookmarkEnd w:id="4"/>
          </w:p>
        </w:tc>
      </w:tr>
      <w:tr w:rsidR="0015605C" w:rsidRPr="00D3521C" w:rsidTr="008F2276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15605C" w:rsidRPr="00D3521C" w:rsidRDefault="0015605C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Inleiding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15605C" w:rsidRPr="00D3521C" w:rsidRDefault="0015605C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Je werkt als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derde-jaars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 xml:space="preserve"> leerling doktersassistente. Regelmatig zie je dat patiënten corticosteroïden voorgeschreven krijgen. Ook heb je wel eens gehoord dat de bijwerkingen niet altijd ongevaarlijk zijn. Eigenlijk weet je hier te weinig van.</w:t>
            </w:r>
          </w:p>
        </w:tc>
      </w:tr>
      <w:tr w:rsidR="0015605C" w:rsidRPr="00D3521C" w:rsidTr="008F2276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15605C" w:rsidRPr="00D3521C" w:rsidRDefault="0015605C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15605C" w:rsidRPr="00D3521C" w:rsidRDefault="0015605C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15605C" w:rsidRDefault="0015605C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Maak een verslag waarin je onderstaande onderdelen beschrijft</w:t>
            </w:r>
            <w:r>
              <w:rPr>
                <w:rFonts w:eastAsia="Times New Roman" w:cs="Arial"/>
                <w:szCs w:val="20"/>
                <w:lang w:eastAsia="nl-NL"/>
              </w:rPr>
              <w:t>:</w:t>
            </w:r>
          </w:p>
          <w:p w:rsidR="0015605C" w:rsidRDefault="0015605C" w:rsidP="0015605C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Geef een indeling van de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g</w:t>
            </w:r>
            <w:r>
              <w:rPr>
                <w:rFonts w:eastAsia="Times New Roman" w:cs="Arial"/>
                <w:szCs w:val="20"/>
                <w:lang w:eastAsia="nl-NL"/>
              </w:rPr>
              <w:t>lucocorticosteroïden</w:t>
            </w:r>
            <w:proofErr w:type="spellEnd"/>
            <w:r>
              <w:rPr>
                <w:rFonts w:eastAsia="Times New Roman" w:cs="Arial"/>
                <w:szCs w:val="20"/>
                <w:lang w:eastAsia="nl-NL"/>
              </w:rPr>
              <w:t xml:space="preserve"> qua sterkte.</w:t>
            </w:r>
          </w:p>
          <w:p w:rsidR="0015605C" w:rsidRDefault="0015605C" w:rsidP="0015605C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Geef een aantal toedieningswegen en toedienings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vormen van </w:t>
            </w: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glucocorticosteroïden</w:t>
            </w:r>
            <w:proofErr w:type="spellEnd"/>
            <w:r>
              <w:rPr>
                <w:rFonts w:eastAsia="Times New Roman" w:cs="Arial"/>
                <w:szCs w:val="20"/>
                <w:lang w:eastAsia="nl-NL"/>
              </w:rPr>
              <w:t>.</w:t>
            </w:r>
          </w:p>
          <w:p w:rsidR="0015605C" w:rsidRDefault="0015605C" w:rsidP="0015605C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Noem de verschillende indicaties, die passen bi</w:t>
            </w:r>
            <w:r>
              <w:rPr>
                <w:rFonts w:eastAsia="Times New Roman" w:cs="Arial"/>
                <w:szCs w:val="20"/>
                <w:lang w:eastAsia="nl-NL"/>
              </w:rPr>
              <w:t>j de toedieningswegen -en vormen.</w:t>
            </w:r>
          </w:p>
          <w:p w:rsidR="0015605C" w:rsidRPr="00D3521C" w:rsidRDefault="0015605C" w:rsidP="0015605C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Benoem tenslotte de bijwerkingen van de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glucocorticosteroïden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>.</w:t>
            </w:r>
          </w:p>
          <w:p w:rsidR="0015605C" w:rsidRPr="00D3521C" w:rsidRDefault="0015605C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15605C" w:rsidRPr="00D3521C" w:rsidRDefault="0015605C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Mw. Wielinga komt voor controle Zij heeft de ziekte van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Cushing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>.</w:t>
            </w:r>
          </w:p>
          <w:p w:rsidR="0015605C" w:rsidRPr="00D3521C" w:rsidRDefault="0015605C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15605C" w:rsidRPr="00D3521C" w:rsidRDefault="0015605C" w:rsidP="001560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Waardoor kan de ziekte en/of het syndroom van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Cushing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 xml:space="preserve"> ontstaan</w:t>
            </w:r>
          </w:p>
          <w:p w:rsidR="0015605C" w:rsidRPr="00D3521C" w:rsidRDefault="0015605C" w:rsidP="001560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Welke verschijnselen kunnen optreden.</w:t>
            </w:r>
          </w:p>
          <w:p w:rsidR="0015605C" w:rsidRPr="00593D97" w:rsidRDefault="0015605C" w:rsidP="001560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Wat zijn de therapeutische mogelijkheden</w:t>
            </w:r>
          </w:p>
          <w:p w:rsidR="0015605C" w:rsidRPr="00D3521C" w:rsidRDefault="0015605C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15605C" w:rsidRPr="00D3521C" w:rsidTr="008F2276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15605C" w:rsidRPr="00D3521C" w:rsidRDefault="0015605C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Ondersteuning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15605C" w:rsidRPr="00D3521C" w:rsidRDefault="0015605C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Theorie geneesmiddelenkennis; theorie over genoemde gezondheidsstoornissen</w:t>
            </w:r>
          </w:p>
        </w:tc>
      </w:tr>
      <w:tr w:rsidR="0015605C" w:rsidRPr="00D3521C" w:rsidTr="008F2276">
        <w:trPr>
          <w:cantSplit/>
          <w:trHeight w:val="246"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15605C" w:rsidRPr="00D3521C" w:rsidRDefault="0015605C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Media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15605C" w:rsidRPr="00D3521C" w:rsidRDefault="0015605C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Bijlage over corticosteroïden</w:t>
            </w:r>
          </w:p>
          <w:p w:rsidR="0015605C" w:rsidRPr="00D3521C" w:rsidRDefault="0015605C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Farmacotherapeutisch kompas</w:t>
            </w:r>
          </w:p>
          <w:p w:rsidR="0015605C" w:rsidRPr="00D3521C" w:rsidRDefault="0015605C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Digitaal ziekenhuis, medische encyclopedie</w:t>
            </w:r>
          </w:p>
        </w:tc>
      </w:tr>
    </w:tbl>
    <w:p w:rsidR="00453CA7" w:rsidRDefault="0015605C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0A75"/>
    <w:multiLevelType w:val="hybridMultilevel"/>
    <w:tmpl w:val="C83427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A7BD6"/>
    <w:multiLevelType w:val="hybridMultilevel"/>
    <w:tmpl w:val="4B00D5F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5C"/>
    <w:rsid w:val="0015605C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77230-D062-41D0-A49F-8BFB910F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15605C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2017-04-07T10:56:00Z</dcterms:created>
  <dcterms:modified xsi:type="dcterms:W3CDTF">2017-04-07T10:56:00Z</dcterms:modified>
</cp:coreProperties>
</file>